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Kiruna kommunfullmäktige</w:t>
      </w:r>
    </w:p>
    <w:p>
      <w:pPr>
        <w:pStyle w:val="Heading1"/>
      </w:pPr>
      <w:r>
        <w:t xml:space="preserve">Införa valfrihet inom hemtjänsten enligt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Kiruna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Kiruna saknar valfrihet inom hemtjänsten trots lagens möjlighet. Äldre och anhöriga efterfrågar mer inflytande över utförare (kommunens brukarundersökning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Kiruna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Kiruna kommun inför LOV inom hemtjänsten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två externa utförare godkänns vid införandet.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information om valmöjligheter skickas till alla hemtjänsttagare.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kvalitetsuppföljning sker årligen och redovisas för fullmäktige.</w:t>
      </w:r>
    </w:p>
    <w:p>
      <w:pPr>
        <w:spacing w:before="360"/>
      </w:pPr>
    </w:p>
    <w:p>
      <w:r>
        <w:t xml:space="preserve">Kiruna,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Kiruna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2026-07-14T03:54:08.010Z</dcterms:created>
  <dcterms:modified xsi:type="dcterms:W3CDTF">2026-07-14T03:54:08.010Z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